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spacing w:before="180" w:after="360" w:line="320" w:lineRule="exact"/>
        <w:jc w:val="both"/>
        <w:rPr>
          <w:rFonts w:ascii="微軟正黑體" w:cs="微軟正黑體" w:hAnsi="微軟正黑體" w:eastAsia="微軟正黑體"/>
          <w:b w:val="1"/>
          <w:bCs w:val="1"/>
        </w:rPr>
      </w:pPr>
      <w:r>
        <w:rPr>
          <w:rFonts w:ascii="微軟正黑體" w:cs="微軟正黑體" w:hAnsi="微軟正黑體" w:eastAsia="微軟正黑體"/>
          <w:b w:val="1"/>
          <w:bCs w:val="1"/>
          <w:rtl w:val="0"/>
          <w:lang w:val="en-US"/>
        </w:rPr>
        <w:t>112</w:t>
      </w:r>
      <w:r>
        <w:rPr>
          <w:rFonts w:ascii="微軟正黑體" w:cs="微軟正黑體" w:hAnsi="微軟正黑體" w:eastAsia="微軟正黑體"/>
          <w:b w:val="1"/>
          <w:bCs w:val="1"/>
          <w:rtl w:val="0"/>
          <w:lang w:val="zh-TW" w:eastAsia="zh-TW"/>
        </w:rPr>
        <w:t xml:space="preserve"> 年度 主要股東名單</w:t>
      </w:r>
    </w:p>
    <w:p>
      <w:pPr>
        <w:pStyle w:val="內文 A"/>
        <w:spacing w:before="180" w:after="360" w:line="320" w:lineRule="exact"/>
        <w:jc w:val="both"/>
        <w:rPr>
          <w:rFonts w:ascii="微軟正黑體" w:cs="微軟正黑體" w:hAnsi="微軟正黑體" w:eastAsia="微軟正黑體"/>
          <w:lang w:val="zh-TW" w:eastAsia="zh-TW"/>
        </w:rPr>
      </w:pPr>
      <w:r>
        <w:rPr>
          <w:rFonts w:ascii="微軟正黑體" w:cs="微軟正黑體" w:hAnsi="微軟正黑體" w:eastAsia="微軟正黑體"/>
          <w:b w:val="1"/>
          <w:bCs w:val="1"/>
          <w:rtl w:val="0"/>
          <w:lang w:val="zh-TW" w:eastAsia="zh-TW"/>
        </w:rPr>
        <w:t>主要股東名單：</w:t>
      </w:r>
      <w:r>
        <w:rPr>
          <w:rFonts w:ascii="微軟正黑體" w:cs="微軟正黑體" w:hAnsi="微軟正黑體" w:eastAsia="微軟正黑體"/>
          <w:rtl w:val="0"/>
          <w:lang w:val="zh-TW" w:eastAsia="zh-TW"/>
        </w:rPr>
        <w:t>持有股份達總額百分之五以上或股權比例占前十名之股東</w:t>
      </w:r>
    </w:p>
    <w:p>
      <w:pPr>
        <w:pStyle w:val="內文 A"/>
        <w:spacing w:before="180" w:after="360" w:line="320" w:lineRule="exact"/>
        <w:jc w:val="both"/>
        <w:rPr>
          <w:rFonts w:ascii="微軟正黑體" w:cs="微軟正黑體" w:hAnsi="微軟正黑體" w:eastAsia="微軟正黑體"/>
        </w:rPr>
      </w:pPr>
      <w:r>
        <w:rPr>
          <w:rFonts w:ascii="微軟正黑體" w:cs="微軟正黑體" w:hAnsi="微軟正黑體" w:eastAsia="微軟正黑體"/>
          <w:rtl w:val="0"/>
          <w:lang w:val="zh-TW" w:eastAsia="zh-TW"/>
        </w:rPr>
        <w:t>基準日：</w:t>
      </w:r>
      <w:r>
        <w:rPr>
          <w:rFonts w:ascii="微軟正黑體" w:cs="微軟正黑體" w:hAnsi="微軟正黑體" w:eastAsia="微軟正黑體"/>
          <w:rtl w:val="0"/>
          <w:lang w:val="en-US"/>
        </w:rPr>
        <w:t>112.04.22</w:t>
      </w:r>
    </w:p>
    <w:tbl>
      <w:tblPr>
        <w:tblW w:w="958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2665"/>
        <w:gridCol w:w="2665"/>
      </w:tblGrid>
      <w:tr>
        <w:tblPrEx>
          <w:shd w:val="clear" w:color="auto" w:fill="ced7e7"/>
        </w:tblPrEx>
        <w:trPr>
          <w:trHeight w:val="1043" w:hRule="atLeast"/>
        </w:trPr>
        <w:tc>
          <w:tcPr>
            <w:tcW w:type="dxa" w:w="425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right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股份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微軟正黑體" w:cs="微軟正黑體" w:hAnsi="微軟正黑體" w:eastAsia="微軟正黑體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主要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股東名稱</w:t>
            </w:r>
          </w:p>
        </w:tc>
        <w:tc>
          <w:tcPr>
            <w:tcW w:type="dxa" w:w="2665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widowControl w:val="1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 xml:space="preserve">持  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有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股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 xml:space="preserve">   數</w:t>
            </w:r>
          </w:p>
        </w:tc>
        <w:tc>
          <w:tcPr>
            <w:tcW w:type="dxa" w:w="2665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widowControl w:val="1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 xml:space="preserve">持 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 xml:space="preserve">股  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比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 xml:space="preserve">  例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425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威聖投資股份有限公司</w:t>
            </w:r>
          </w:p>
        </w:tc>
        <w:tc>
          <w:tcPr>
            <w:tcW w:type="dxa" w:w="2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9,408,321</w:t>
            </w:r>
          </w:p>
        </w:tc>
        <w:tc>
          <w:tcPr>
            <w:tcW w:type="dxa" w:w="2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kern w:val="0"/>
                <w:shd w:val="nil" w:color="auto" w:fill="auto"/>
                <w:rtl w:val="0"/>
                <w:lang w:val="en-US"/>
              </w:rPr>
              <w:t>23.31%</w:t>
            </w:r>
          </w:p>
        </w:tc>
      </w:tr>
      <w:tr>
        <w:tblPrEx>
          <w:shd w:val="clear" w:color="auto" w:fill="ced7e7"/>
        </w:tblPrEx>
        <w:trPr>
          <w:trHeight w:val="353" w:hRule="atLeast"/>
        </w:trPr>
        <w:tc>
          <w:tcPr>
            <w:tcW w:type="dxa" w:w="425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李世昌</w:t>
            </w:r>
          </w:p>
        </w:tc>
        <w:tc>
          <w:tcPr>
            <w:tcW w:type="dxa" w:w="2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3,919,005</w:t>
            </w:r>
          </w:p>
        </w:tc>
        <w:tc>
          <w:tcPr>
            <w:tcW w:type="dxa" w:w="2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9.71%</w:t>
            </w:r>
          </w:p>
        </w:tc>
      </w:tr>
      <w:tr>
        <w:tblPrEx>
          <w:shd w:val="clear" w:color="auto" w:fill="ced7e7"/>
        </w:tblPrEx>
        <w:trPr>
          <w:trHeight w:val="353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李世魁</w:t>
            </w:r>
          </w:p>
        </w:tc>
        <w:tc>
          <w:tcPr>
            <w:tcW w:type="dxa" w:w="26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kern w:val="0"/>
                <w:shd w:val="nil" w:color="auto" w:fill="auto"/>
                <w:rtl w:val="0"/>
                <w:lang w:val="en-US"/>
              </w:rPr>
              <w:t>3,174,000</w:t>
            </w:r>
          </w:p>
        </w:tc>
        <w:tc>
          <w:tcPr>
            <w:tcW w:type="dxa" w:w="26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7.87%</w:t>
            </w:r>
          </w:p>
        </w:tc>
      </w:tr>
      <w:tr>
        <w:tblPrEx>
          <w:shd w:val="clear" w:color="auto" w:fill="ced7e7"/>
        </w:tblPrEx>
        <w:trPr>
          <w:trHeight w:val="353" w:hRule="atLeast"/>
        </w:trPr>
        <w:tc>
          <w:tcPr>
            <w:tcW w:type="dxa" w:w="425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祥立投資股份有限公司</w:t>
            </w:r>
          </w:p>
        </w:tc>
        <w:tc>
          <w:tcPr>
            <w:tcW w:type="dxa" w:w="2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2,814,705</w:t>
            </w:r>
          </w:p>
        </w:tc>
        <w:tc>
          <w:tcPr>
            <w:tcW w:type="dxa" w:w="2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kern w:val="0"/>
                <w:shd w:val="nil" w:color="auto" w:fill="auto"/>
                <w:rtl w:val="0"/>
                <w:lang w:val="en-US"/>
              </w:rPr>
              <w:t>6.98%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楊美斯</w:t>
            </w:r>
          </w:p>
        </w:tc>
        <w:tc>
          <w:tcPr>
            <w:tcW w:type="dxa" w:w="26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1,276,113</w:t>
            </w:r>
          </w:p>
        </w:tc>
        <w:tc>
          <w:tcPr>
            <w:tcW w:type="dxa" w:w="26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3.16%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顏兆祥</w:t>
            </w:r>
          </w:p>
        </w:tc>
        <w:tc>
          <w:tcPr>
            <w:tcW w:type="dxa" w:w="26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1,262,206</w:t>
            </w:r>
          </w:p>
        </w:tc>
        <w:tc>
          <w:tcPr>
            <w:tcW w:type="dxa" w:w="26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3.13%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花旗託管瑞銀歐洲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SE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投資專戶</w:t>
            </w:r>
          </w:p>
        </w:tc>
        <w:tc>
          <w:tcPr>
            <w:tcW w:type="dxa" w:w="26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1,050,200</w:t>
            </w:r>
          </w:p>
        </w:tc>
        <w:tc>
          <w:tcPr>
            <w:tcW w:type="dxa" w:w="26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2.60%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楊適槐</w:t>
            </w:r>
          </w:p>
        </w:tc>
        <w:tc>
          <w:tcPr>
            <w:tcW w:type="dxa" w:w="26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901,126</w:t>
            </w:r>
          </w:p>
        </w:tc>
        <w:tc>
          <w:tcPr>
            <w:tcW w:type="dxa" w:w="26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2.23%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劉盈君</w:t>
            </w:r>
          </w:p>
        </w:tc>
        <w:tc>
          <w:tcPr>
            <w:tcW w:type="dxa" w:w="26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603,180</w:t>
            </w:r>
          </w:p>
        </w:tc>
        <w:tc>
          <w:tcPr>
            <w:tcW w:type="dxa" w:w="26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1.50%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聰泰科技開發股份有限公司庫藏股專戶</w:t>
            </w:r>
          </w:p>
        </w:tc>
        <w:tc>
          <w:tcPr>
            <w:tcW w:type="dxa" w:w="26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599,000</w:t>
            </w:r>
          </w:p>
        </w:tc>
        <w:tc>
          <w:tcPr>
            <w:tcW w:type="dxa" w:w="26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內文 A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1.48%</w:t>
            </w:r>
          </w:p>
        </w:tc>
      </w:tr>
    </w:tbl>
    <w:p>
      <w:pPr>
        <w:pStyle w:val="內文 A"/>
        <w:spacing w:before="180" w:after="360"/>
        <w:jc w:val="both"/>
        <w:rPr>
          <w:rFonts w:ascii="微軟正黑體" w:cs="微軟正黑體" w:hAnsi="微軟正黑體" w:eastAsia="微軟正黑體"/>
        </w:rPr>
      </w:pPr>
    </w:p>
    <w:p>
      <w:pPr>
        <w:pStyle w:val="內文 A"/>
        <w:widowControl w:val="1"/>
      </w:pPr>
      <w:r>
        <w:rPr>
          <w:shd w:val="clear" w:color="auto" w:fill="ffff00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微軟正黑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